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C" w:rsidRPr="00C25BBA" w:rsidRDefault="00083C39" w:rsidP="005877A7">
      <w:pPr>
        <w:jc w:val="center"/>
        <w:rPr>
          <w:b/>
          <w:sz w:val="24"/>
          <w:szCs w:val="24"/>
        </w:rPr>
      </w:pPr>
      <w:r w:rsidRPr="00C25BBA">
        <w:rPr>
          <w:b/>
          <w:sz w:val="24"/>
          <w:szCs w:val="24"/>
        </w:rPr>
        <w:t>Steps in Hiring Faculty</w:t>
      </w:r>
    </w:p>
    <w:p w:rsidR="007827F7" w:rsidRPr="007827F7" w:rsidRDefault="007827F7" w:rsidP="007827F7">
      <w:pPr>
        <w:rPr>
          <w:b/>
          <w:u w:val="single"/>
        </w:rPr>
      </w:pPr>
      <w:r w:rsidRPr="007827F7">
        <w:rPr>
          <w:b/>
          <w:u w:val="single"/>
        </w:rPr>
        <w:t>Approval to Begin Search</w:t>
      </w:r>
    </w:p>
    <w:p w:rsidR="00083C39" w:rsidRDefault="00B32C9F" w:rsidP="00B32C9F">
      <w:pPr>
        <w:pStyle w:val="ListParagraph"/>
        <w:numPr>
          <w:ilvl w:val="0"/>
          <w:numId w:val="1"/>
        </w:numPr>
      </w:pPr>
      <w:r>
        <w:t>1.</w:t>
      </w:r>
      <w:r w:rsidR="00083C39">
        <w:t xml:space="preserve"> </w:t>
      </w:r>
      <w:r>
        <w:t xml:space="preserve"> </w:t>
      </w:r>
      <w:r w:rsidR="00083C39">
        <w:t>Submission o</w:t>
      </w:r>
      <w:r w:rsidR="002F3B85">
        <w:t>f hiring request template from Department C</w:t>
      </w:r>
      <w:r w:rsidR="00083C39">
        <w:t>hair</w:t>
      </w:r>
      <w:r w:rsidR="002F3B85">
        <w:t xml:space="preserve"> to Dean</w:t>
      </w:r>
      <w:r w:rsidR="00083C39">
        <w:t>.</w:t>
      </w:r>
    </w:p>
    <w:p w:rsidR="00083C39" w:rsidRDefault="00B32C9F" w:rsidP="00B32C9F">
      <w:pPr>
        <w:pStyle w:val="ListParagraph"/>
        <w:ind w:left="810"/>
      </w:pPr>
      <w:r>
        <w:t xml:space="preserve">     </w:t>
      </w:r>
      <w:r w:rsidR="00FB31C4">
        <w:t xml:space="preserve"> (This form is a separate</w:t>
      </w:r>
      <w:r w:rsidR="00554C3D">
        <w:t xml:space="preserve"> attachment sent</w:t>
      </w:r>
      <w:r w:rsidR="00FB31C4">
        <w:t xml:space="preserve"> with e-mail).</w:t>
      </w:r>
      <w:r w:rsidR="00496D51">
        <w:t xml:space="preserve"> </w:t>
      </w:r>
      <w:r w:rsidR="007B50DD">
        <w:t xml:space="preserve"> </w:t>
      </w:r>
    </w:p>
    <w:p w:rsidR="00083C39" w:rsidRDefault="00B32C9F" w:rsidP="00083C39">
      <w:pPr>
        <w:pStyle w:val="ListParagraph"/>
        <w:numPr>
          <w:ilvl w:val="0"/>
          <w:numId w:val="1"/>
        </w:numPr>
      </w:pPr>
      <w:r>
        <w:t xml:space="preserve">2.  </w:t>
      </w:r>
      <w:r w:rsidR="007A6106">
        <w:t>Upon Dean’s approval to fill position</w:t>
      </w:r>
      <w:r w:rsidR="0001532D">
        <w:t>, s</w:t>
      </w:r>
      <w:r w:rsidR="00083C39">
        <w:t>elect search committee.</w:t>
      </w:r>
      <w:bookmarkStart w:id="0" w:name="_GoBack"/>
      <w:bookmarkEnd w:id="0"/>
    </w:p>
    <w:p w:rsidR="007827F7" w:rsidRPr="007827F7" w:rsidRDefault="007827F7" w:rsidP="007827F7">
      <w:pPr>
        <w:jc w:val="both"/>
        <w:rPr>
          <w:b/>
          <w:u w:val="single"/>
        </w:rPr>
      </w:pPr>
      <w:r w:rsidRPr="007827F7">
        <w:rPr>
          <w:b/>
          <w:u w:val="single"/>
        </w:rPr>
        <w:t>Posting of Vacancy</w:t>
      </w:r>
    </w:p>
    <w:p w:rsidR="00B32C9F" w:rsidRDefault="00B32C9F" w:rsidP="003D4FA6">
      <w:pPr>
        <w:pStyle w:val="ListParagraph"/>
        <w:numPr>
          <w:ilvl w:val="0"/>
          <w:numId w:val="1"/>
        </w:numPr>
      </w:pPr>
      <w:r>
        <w:t xml:space="preserve">3.  </w:t>
      </w:r>
      <w:r w:rsidR="003D4FA6">
        <w:t>Review of “Resource Guide for Recruiting Excellent and Diverse Faculty” website and all links</w:t>
      </w:r>
    </w:p>
    <w:p w:rsidR="003D4FA6" w:rsidRPr="00FB31C4" w:rsidRDefault="003D4FA6" w:rsidP="003479F1">
      <w:pPr>
        <w:pStyle w:val="ListParagraph"/>
        <w:spacing w:after="0"/>
        <w:ind w:left="1110"/>
      </w:pPr>
      <w:r>
        <w:t>by Dean, Department Chair, Search Committee Chair, Search Committee and Department.</w:t>
      </w:r>
      <w:r w:rsidR="005877A7">
        <w:t xml:space="preserve"> </w:t>
      </w:r>
      <w:r>
        <w:t xml:space="preserve">  </w:t>
      </w:r>
      <w:r w:rsidR="00B32C9F">
        <w:t xml:space="preserve">  </w:t>
      </w:r>
      <w:hyperlink r:id="rId9" w:history="1">
        <w:r w:rsidR="00552753" w:rsidRPr="00235EAD">
          <w:rPr>
            <w:rStyle w:val="Hyperlink"/>
          </w:rPr>
          <w:t>http://www.provost.iastate.edu/office/resource.html</w:t>
        </w:r>
      </w:hyperlink>
      <w:r w:rsidR="00FB31C4">
        <w:rPr>
          <w:rStyle w:val="Hyperlink"/>
        </w:rPr>
        <w:t xml:space="preserve">   </w:t>
      </w:r>
      <w:r w:rsidR="00FB31C4">
        <w:rPr>
          <w:rStyle w:val="Hyperlink"/>
          <w:color w:val="auto"/>
          <w:u w:val="none"/>
        </w:rPr>
        <w:t>(right click and choose open hyperlink to open all links)</w:t>
      </w:r>
    </w:p>
    <w:p w:rsidR="005233CE" w:rsidRDefault="0099605B" w:rsidP="003479F1">
      <w:pPr>
        <w:spacing w:after="0"/>
      </w:pPr>
      <w:r>
        <w:t xml:space="preserve">        </w:t>
      </w:r>
      <w:r w:rsidR="00552753">
        <w:t xml:space="preserve"> </w:t>
      </w:r>
      <w:r>
        <w:sym w:font="Symbol" w:char="F07F"/>
      </w:r>
      <w:r w:rsidR="007506E9">
        <w:t xml:space="preserve">      4</w:t>
      </w:r>
      <w:r>
        <w:t>. Search committee takes Web Based Div</w:t>
      </w:r>
      <w:r w:rsidR="00F82590">
        <w:t>ersity Training found under Web Based Training on</w:t>
      </w:r>
    </w:p>
    <w:p w:rsidR="00F82590" w:rsidRDefault="005233CE" w:rsidP="003479F1">
      <w:pPr>
        <w:spacing w:after="0"/>
      </w:pPr>
      <w:r>
        <w:t xml:space="preserve">                      Employee tab of Access Plus.</w:t>
      </w:r>
      <w:r w:rsidR="00F82590">
        <w:t xml:space="preserve">             </w:t>
      </w:r>
      <w:r>
        <w:t xml:space="preserve">        </w:t>
      </w:r>
    </w:p>
    <w:p w:rsidR="005916D6" w:rsidRDefault="00F82590" w:rsidP="00F82590">
      <w:pPr>
        <w:spacing w:after="0"/>
      </w:pPr>
      <w:r>
        <w:t xml:space="preserve">        </w:t>
      </w:r>
      <w:r>
        <w:sym w:font="Symbol" w:char="F07F"/>
      </w:r>
      <w:r>
        <w:t xml:space="preserve">      </w:t>
      </w:r>
      <w:r w:rsidR="007506E9">
        <w:t xml:space="preserve"> 5</w:t>
      </w:r>
      <w:r w:rsidR="00B24F3C">
        <w:t xml:space="preserve">.  </w:t>
      </w:r>
      <w:r w:rsidR="005916D6">
        <w:t>Search committee reviews and approves position announcement</w:t>
      </w:r>
      <w:r w:rsidR="002F3B85">
        <w:t>.</w:t>
      </w:r>
    </w:p>
    <w:p w:rsidR="00083C39" w:rsidRDefault="007506E9" w:rsidP="00F82590">
      <w:pPr>
        <w:pStyle w:val="ListParagraph"/>
        <w:numPr>
          <w:ilvl w:val="0"/>
          <w:numId w:val="1"/>
        </w:numPr>
        <w:spacing w:after="0"/>
      </w:pPr>
      <w:r>
        <w:t xml:space="preserve"> 6</w:t>
      </w:r>
      <w:r w:rsidR="00B24F3C">
        <w:t xml:space="preserve">.  </w:t>
      </w:r>
      <w:r w:rsidR="004B10B6">
        <w:t>Create Notice of V</w:t>
      </w:r>
      <w:r w:rsidR="00083C39">
        <w:t>acancy in HR system.</w:t>
      </w:r>
    </w:p>
    <w:p w:rsidR="00B24F3C" w:rsidRDefault="007506E9" w:rsidP="00B24F3C">
      <w:pPr>
        <w:pStyle w:val="ListParagraph"/>
        <w:numPr>
          <w:ilvl w:val="0"/>
          <w:numId w:val="1"/>
        </w:numPr>
      </w:pPr>
      <w:r>
        <w:t xml:space="preserve"> 7</w:t>
      </w:r>
      <w:r w:rsidR="00B24F3C">
        <w:t xml:space="preserve">.  </w:t>
      </w:r>
      <w:r w:rsidR="007A6106">
        <w:t>Route Notice of Vacancy to HR Liaison</w:t>
      </w:r>
      <w:r w:rsidR="004B10B6">
        <w:t xml:space="preserve"> in dean’s office</w:t>
      </w:r>
      <w:r w:rsidR="007A6106">
        <w:t xml:space="preserve"> for approval.</w:t>
      </w:r>
    </w:p>
    <w:p w:rsidR="007A6106" w:rsidRDefault="007506E9" w:rsidP="00083C39">
      <w:pPr>
        <w:pStyle w:val="ListParagraph"/>
        <w:numPr>
          <w:ilvl w:val="0"/>
          <w:numId w:val="1"/>
        </w:numPr>
      </w:pPr>
      <w:r>
        <w:t xml:space="preserve"> 8</w:t>
      </w:r>
      <w:r w:rsidR="00B24F3C">
        <w:t xml:space="preserve">.  </w:t>
      </w:r>
      <w:r w:rsidR="007A6106">
        <w:t xml:space="preserve">HR Liaison forwards NOV to Provost </w:t>
      </w:r>
      <w:r w:rsidR="00F77193">
        <w:t>Office</w:t>
      </w:r>
      <w:r w:rsidR="007A6106">
        <w:t xml:space="preserve"> for approval.  (Brenda Behling)</w:t>
      </w:r>
    </w:p>
    <w:p w:rsidR="007A6106" w:rsidRDefault="007506E9" w:rsidP="00083C39">
      <w:pPr>
        <w:pStyle w:val="ListParagraph"/>
        <w:numPr>
          <w:ilvl w:val="0"/>
          <w:numId w:val="1"/>
        </w:numPr>
      </w:pPr>
      <w:r>
        <w:t xml:space="preserve"> 9</w:t>
      </w:r>
      <w:r w:rsidR="00B24F3C">
        <w:t xml:space="preserve">.  </w:t>
      </w:r>
      <w:r w:rsidR="007A6106">
        <w:t>Notification email received by Provost and EOD for approval and posting of vacancy.</w:t>
      </w:r>
    </w:p>
    <w:p w:rsidR="00B24F3C" w:rsidRDefault="007506E9" w:rsidP="00083C39">
      <w:pPr>
        <w:pStyle w:val="ListParagraph"/>
        <w:numPr>
          <w:ilvl w:val="0"/>
          <w:numId w:val="1"/>
        </w:numPr>
      </w:pPr>
      <w:r>
        <w:t>10</w:t>
      </w:r>
      <w:r w:rsidR="00B24F3C">
        <w:t xml:space="preserve">.  </w:t>
      </w:r>
      <w:r w:rsidR="00E07461">
        <w:t>For teaching positions, posting is required for a minimum of 30 days on both the ISU Hiring</w:t>
      </w:r>
    </w:p>
    <w:p w:rsidR="00E07461" w:rsidRDefault="00E07461" w:rsidP="00B24F3C">
      <w:pPr>
        <w:pStyle w:val="ListParagraph"/>
        <w:ind w:left="810"/>
      </w:pPr>
      <w:r>
        <w:t xml:space="preserve"> </w:t>
      </w:r>
      <w:r w:rsidR="00B24F3C">
        <w:t xml:space="preserve">      </w:t>
      </w:r>
      <w:r>
        <w:t xml:space="preserve">Website and in a national journal or publication </w:t>
      </w:r>
      <w:r w:rsidRPr="00E07461">
        <w:rPr>
          <w:b/>
        </w:rPr>
        <w:t>print</w:t>
      </w:r>
      <w:r>
        <w:t xml:space="preserve"> advertisement.</w:t>
      </w:r>
      <w:r w:rsidR="00FB31C4">
        <w:t xml:space="preserve">  See link for additional</w:t>
      </w:r>
    </w:p>
    <w:p w:rsidR="00FB31C4" w:rsidRDefault="00FB31C4" w:rsidP="00B24F3C">
      <w:pPr>
        <w:pStyle w:val="ListParagraph"/>
        <w:ind w:left="810"/>
      </w:pPr>
      <w:r>
        <w:t xml:space="preserve">        information. </w:t>
      </w:r>
      <w:r w:rsidRPr="00554C3D">
        <w:rPr>
          <w:color w:val="0070C0"/>
        </w:rPr>
        <w:t xml:space="preserve">  </w:t>
      </w:r>
      <w:hyperlink r:id="rId10" w:history="1">
        <w:r w:rsidRPr="00554C3D">
          <w:rPr>
            <w:rStyle w:val="Hyperlink"/>
            <w:color w:val="0070C0"/>
          </w:rPr>
          <w:t>http://www.hrs.iastate.edu/hrs/files/DOLRegs.pdf</w:t>
        </w:r>
      </w:hyperlink>
    </w:p>
    <w:p w:rsidR="007827F7" w:rsidRPr="007827F7" w:rsidRDefault="007827F7" w:rsidP="007827F7">
      <w:pPr>
        <w:rPr>
          <w:b/>
          <w:u w:val="single"/>
        </w:rPr>
      </w:pPr>
      <w:r w:rsidRPr="007827F7">
        <w:rPr>
          <w:b/>
          <w:u w:val="single"/>
        </w:rPr>
        <w:t>Interview Process</w:t>
      </w:r>
    </w:p>
    <w:p w:rsidR="007A6106" w:rsidRDefault="007506E9" w:rsidP="00083C39">
      <w:pPr>
        <w:pStyle w:val="ListParagraph"/>
        <w:numPr>
          <w:ilvl w:val="0"/>
          <w:numId w:val="1"/>
        </w:numPr>
      </w:pPr>
      <w:r>
        <w:t>11</w:t>
      </w:r>
      <w:r w:rsidR="00B24F3C">
        <w:t xml:space="preserve">.  </w:t>
      </w:r>
      <w:r w:rsidR="007A6106">
        <w:t>Search committee given guest user access to HR system if deemed appropriate.</w:t>
      </w:r>
    </w:p>
    <w:p w:rsidR="00B24F3C" w:rsidRDefault="007506E9" w:rsidP="00B24F3C">
      <w:pPr>
        <w:pStyle w:val="ListParagraph"/>
        <w:numPr>
          <w:ilvl w:val="0"/>
          <w:numId w:val="1"/>
        </w:numPr>
      </w:pPr>
      <w:r>
        <w:t>12</w:t>
      </w:r>
      <w:r w:rsidR="00B24F3C">
        <w:t xml:space="preserve">.  </w:t>
      </w:r>
      <w:r w:rsidR="007A6106">
        <w:t xml:space="preserve">Search committee </w:t>
      </w:r>
      <w:r w:rsidR="008E3289">
        <w:t>deems if candidates meet required qualifications</w:t>
      </w:r>
      <w:r w:rsidR="007A6106">
        <w:t xml:space="preserve"> and rank</w:t>
      </w:r>
      <w:r w:rsidR="008E3289">
        <w:t>s those</w:t>
      </w:r>
    </w:p>
    <w:p w:rsidR="007A6106" w:rsidRDefault="00B24F3C" w:rsidP="00B24F3C">
      <w:pPr>
        <w:pStyle w:val="ListParagraph"/>
        <w:ind w:left="810"/>
      </w:pPr>
      <w:r>
        <w:t xml:space="preserve">  </w:t>
      </w:r>
      <w:r w:rsidR="008E3289">
        <w:t xml:space="preserve"> </w:t>
      </w:r>
      <w:r>
        <w:t xml:space="preserve">    </w:t>
      </w:r>
      <w:r w:rsidR="008E3289">
        <w:t>qualified</w:t>
      </w:r>
      <w:r w:rsidR="007A6106">
        <w:t xml:space="preserve"> according to the preferred qualifications of the position.</w:t>
      </w:r>
    </w:p>
    <w:p w:rsidR="007A6106" w:rsidRDefault="007506E9" w:rsidP="00083C39">
      <w:pPr>
        <w:pStyle w:val="ListParagraph"/>
        <w:numPr>
          <w:ilvl w:val="0"/>
          <w:numId w:val="1"/>
        </w:numPr>
      </w:pPr>
      <w:r>
        <w:t>13</w:t>
      </w:r>
      <w:r w:rsidR="00B24F3C">
        <w:t xml:space="preserve">.  </w:t>
      </w:r>
      <w:r w:rsidR="00472718">
        <w:t>Committee chair or designee</w:t>
      </w:r>
      <w:r w:rsidR="00472718" w:rsidRPr="00472718">
        <w:t xml:space="preserve"> </w:t>
      </w:r>
      <w:r w:rsidR="00472718">
        <w:t>enter</w:t>
      </w:r>
      <w:r w:rsidR="00647E9B">
        <w:t>s</w:t>
      </w:r>
      <w:r w:rsidR="00472718">
        <w:t xml:space="preserve"> rankings into HR system.</w:t>
      </w:r>
    </w:p>
    <w:p w:rsidR="00B24F3C" w:rsidRDefault="007506E9" w:rsidP="00083C39">
      <w:pPr>
        <w:pStyle w:val="ListParagraph"/>
        <w:numPr>
          <w:ilvl w:val="0"/>
          <w:numId w:val="1"/>
        </w:numPr>
      </w:pPr>
      <w:r>
        <w:t>14</w:t>
      </w:r>
      <w:r w:rsidR="00B24F3C">
        <w:t xml:space="preserve">.  </w:t>
      </w:r>
      <w:r w:rsidR="005916D6">
        <w:t>Search committee recommends candidates to be interviewed and decides on reference</w:t>
      </w:r>
    </w:p>
    <w:p w:rsidR="005916D6" w:rsidRDefault="00B24F3C" w:rsidP="00B24F3C">
      <w:pPr>
        <w:pStyle w:val="ListParagraph"/>
        <w:ind w:left="810"/>
      </w:pPr>
      <w:r>
        <w:t xml:space="preserve">     </w:t>
      </w:r>
      <w:r w:rsidR="005916D6">
        <w:t xml:space="preserve"> </w:t>
      </w:r>
      <w:r>
        <w:t xml:space="preserve"> </w:t>
      </w:r>
      <w:r w:rsidR="00077FE8">
        <w:t xml:space="preserve"> </w:t>
      </w:r>
      <w:r w:rsidR="005916D6">
        <w:t>check protocol.</w:t>
      </w:r>
      <w:r w:rsidR="008F3A0C">
        <w:t xml:space="preserve">  Contact candidates for approval to contact references.</w:t>
      </w:r>
    </w:p>
    <w:p w:rsidR="00B24F3C" w:rsidRDefault="007506E9" w:rsidP="00083C39">
      <w:pPr>
        <w:pStyle w:val="ListParagraph"/>
        <w:numPr>
          <w:ilvl w:val="0"/>
          <w:numId w:val="1"/>
        </w:numPr>
      </w:pPr>
      <w:r>
        <w:t>15</w:t>
      </w:r>
      <w:r w:rsidR="00B24F3C">
        <w:t xml:space="preserve">.  </w:t>
      </w:r>
      <w:r w:rsidR="00FC202F">
        <w:t>Committee chair or designee change</w:t>
      </w:r>
      <w:r w:rsidR="00647E9B">
        <w:t>s</w:t>
      </w:r>
      <w:r w:rsidR="005916D6">
        <w:t xml:space="preserve"> </w:t>
      </w:r>
      <w:r w:rsidR="00FC202F">
        <w:t xml:space="preserve">status </w:t>
      </w:r>
      <w:r w:rsidR="005916D6">
        <w:t>in HR system</w:t>
      </w:r>
      <w:r w:rsidR="007A6106">
        <w:t xml:space="preserve"> for those candidates chosen by </w:t>
      </w:r>
    </w:p>
    <w:p w:rsidR="007A6106" w:rsidRDefault="00B24F3C" w:rsidP="00B24F3C">
      <w:pPr>
        <w:pStyle w:val="ListParagraph"/>
        <w:ind w:left="810"/>
      </w:pPr>
      <w:r>
        <w:t xml:space="preserve">        </w:t>
      </w:r>
      <w:r w:rsidR="007A6106">
        <w:t xml:space="preserve">search committee to be interviewed to </w:t>
      </w:r>
      <w:r w:rsidR="005F19EF">
        <w:t>“</w:t>
      </w:r>
      <w:r w:rsidR="007A6106">
        <w:t>selected for interview</w:t>
      </w:r>
      <w:r w:rsidR="005F19EF">
        <w:t>”</w:t>
      </w:r>
      <w:r w:rsidR="007A6106">
        <w:t>.</w:t>
      </w:r>
    </w:p>
    <w:p w:rsidR="007A6106" w:rsidRDefault="007506E9" w:rsidP="00083C39">
      <w:pPr>
        <w:pStyle w:val="ListParagraph"/>
        <w:numPr>
          <w:ilvl w:val="0"/>
          <w:numId w:val="1"/>
        </w:numPr>
      </w:pPr>
      <w:r>
        <w:t>16</w:t>
      </w:r>
      <w:r w:rsidR="00B24F3C">
        <w:t xml:space="preserve">.  </w:t>
      </w:r>
      <w:r w:rsidR="007A6106">
        <w:t>Route selection for interview to HR Liaison for approval.</w:t>
      </w:r>
    </w:p>
    <w:p w:rsidR="007A6106" w:rsidRDefault="007506E9" w:rsidP="00083C39">
      <w:pPr>
        <w:pStyle w:val="ListParagraph"/>
        <w:numPr>
          <w:ilvl w:val="0"/>
          <w:numId w:val="1"/>
        </w:numPr>
      </w:pPr>
      <w:r>
        <w:t>17</w:t>
      </w:r>
      <w:r w:rsidR="00B24F3C">
        <w:t xml:space="preserve">.  </w:t>
      </w:r>
      <w:r w:rsidR="007A6106">
        <w:t>HR Liaison routes approved interviewees to EOD for approval.</w:t>
      </w:r>
    </w:p>
    <w:p w:rsidR="00B24F3C" w:rsidRDefault="007506E9" w:rsidP="00083C39">
      <w:pPr>
        <w:pStyle w:val="ListParagraph"/>
        <w:numPr>
          <w:ilvl w:val="0"/>
          <w:numId w:val="1"/>
        </w:numPr>
      </w:pPr>
      <w:r>
        <w:t>18</w:t>
      </w:r>
      <w:r w:rsidR="00B24F3C">
        <w:t xml:space="preserve">.  </w:t>
      </w:r>
      <w:r w:rsidR="007A6106">
        <w:t>Once notification email is received by HR on approval to interview, candidate interviews</w:t>
      </w:r>
    </w:p>
    <w:p w:rsidR="007A6106" w:rsidRDefault="00B24F3C" w:rsidP="00B24F3C">
      <w:pPr>
        <w:pStyle w:val="ListParagraph"/>
        <w:ind w:left="810"/>
      </w:pPr>
      <w:r>
        <w:t xml:space="preserve">       </w:t>
      </w:r>
      <w:r w:rsidR="007A6106">
        <w:t xml:space="preserve"> can be scheduled. </w:t>
      </w:r>
    </w:p>
    <w:p w:rsidR="00B24F3C" w:rsidRDefault="007506E9" w:rsidP="00083C39">
      <w:pPr>
        <w:pStyle w:val="ListParagraph"/>
        <w:numPr>
          <w:ilvl w:val="0"/>
          <w:numId w:val="1"/>
        </w:numPr>
      </w:pPr>
      <w:r>
        <w:t>19</w:t>
      </w:r>
      <w:r w:rsidR="00B24F3C">
        <w:t xml:space="preserve">.  </w:t>
      </w:r>
      <w:r w:rsidR="005916D6">
        <w:t>Interviews conducted by search committee</w:t>
      </w:r>
      <w:r w:rsidR="008E3289">
        <w:t>, Department Chair, Dean, Research Associate</w:t>
      </w:r>
    </w:p>
    <w:p w:rsidR="00B24F3C" w:rsidRDefault="00B24F3C" w:rsidP="00B24F3C">
      <w:pPr>
        <w:pStyle w:val="ListParagraph"/>
        <w:ind w:left="810"/>
      </w:pPr>
      <w:r>
        <w:t xml:space="preserve">      </w:t>
      </w:r>
      <w:r w:rsidR="008E3289">
        <w:t xml:space="preserve"> D</w:t>
      </w:r>
      <w:r w:rsidR="00A24AEC">
        <w:t>ean, and others as deemed appropriate.  For associate professor, professor or any other</w:t>
      </w:r>
    </w:p>
    <w:p w:rsidR="005916D6" w:rsidRDefault="00B24F3C" w:rsidP="00B24F3C">
      <w:pPr>
        <w:pStyle w:val="ListParagraph"/>
        <w:ind w:left="810"/>
      </w:pPr>
      <w:r>
        <w:t xml:space="preserve">     </w:t>
      </w:r>
      <w:r w:rsidR="00A24AEC">
        <w:t xml:space="preserve"> </w:t>
      </w:r>
      <w:r>
        <w:t xml:space="preserve"> </w:t>
      </w:r>
      <w:r w:rsidR="00A24AEC">
        <w:t>positions being hired with tenure status, the Provost must also interview the candidates.</w:t>
      </w:r>
    </w:p>
    <w:p w:rsidR="007827F7" w:rsidRPr="007827F7" w:rsidRDefault="007827F7" w:rsidP="007827F7">
      <w:pPr>
        <w:rPr>
          <w:b/>
          <w:u w:val="single"/>
        </w:rPr>
      </w:pPr>
      <w:r w:rsidRPr="007827F7">
        <w:rPr>
          <w:b/>
          <w:u w:val="single"/>
        </w:rPr>
        <w:lastRenderedPageBreak/>
        <w:t>Hire and Funding Requests</w:t>
      </w:r>
    </w:p>
    <w:p w:rsidR="00A24AEC" w:rsidRDefault="007506E9" w:rsidP="00083C39">
      <w:pPr>
        <w:pStyle w:val="ListParagraph"/>
        <w:numPr>
          <w:ilvl w:val="0"/>
          <w:numId w:val="1"/>
        </w:numPr>
      </w:pPr>
      <w:r>
        <w:t>20</w:t>
      </w:r>
      <w:r w:rsidR="00B24F3C">
        <w:t xml:space="preserve">.  </w:t>
      </w:r>
      <w:r w:rsidR="00224EAA">
        <w:t>Recommendation of hire given by all parties and decision made as to finalist.</w:t>
      </w:r>
    </w:p>
    <w:p w:rsidR="00B24F3C" w:rsidRDefault="007506E9" w:rsidP="00083C39">
      <w:pPr>
        <w:pStyle w:val="ListParagraph"/>
        <w:numPr>
          <w:ilvl w:val="0"/>
          <w:numId w:val="1"/>
        </w:numPr>
      </w:pPr>
      <w:r>
        <w:t>21</w:t>
      </w:r>
      <w:r w:rsidR="00B24F3C">
        <w:t xml:space="preserve">.  </w:t>
      </w:r>
      <w:r w:rsidR="00647E9B">
        <w:t>Committee chair or designee</w:t>
      </w:r>
      <w:r w:rsidR="00647E9B" w:rsidRPr="00472718">
        <w:t xml:space="preserve"> </w:t>
      </w:r>
      <w:r w:rsidR="00647E9B">
        <w:t>c</w:t>
      </w:r>
      <w:r w:rsidR="00224EAA">
        <w:t>hange</w:t>
      </w:r>
      <w:r w:rsidR="00647E9B">
        <w:t>s</w:t>
      </w:r>
      <w:r w:rsidR="00224EAA">
        <w:t xml:space="preserve"> status of finalist in HR system to </w:t>
      </w:r>
      <w:r w:rsidR="00496D51">
        <w:t>“select</w:t>
      </w:r>
      <w:r w:rsidR="00224EAA">
        <w:t xml:space="preserve"> for hire</w:t>
      </w:r>
      <w:r w:rsidR="00496D51">
        <w:t>”</w:t>
      </w:r>
      <w:r w:rsidR="00224EAA">
        <w:t>,</w:t>
      </w:r>
    </w:p>
    <w:p w:rsidR="00B24F3C" w:rsidRDefault="00B24F3C" w:rsidP="00B24F3C">
      <w:pPr>
        <w:pStyle w:val="ListParagraph"/>
        <w:ind w:left="810"/>
      </w:pPr>
      <w:r>
        <w:t xml:space="preserve">       </w:t>
      </w:r>
      <w:r w:rsidR="00224EAA">
        <w:t xml:space="preserve"> complete</w:t>
      </w:r>
      <w:r w:rsidR="00647E9B">
        <w:t>s</w:t>
      </w:r>
      <w:r w:rsidR="00224EAA">
        <w:t xml:space="preserve"> the PEMF</w:t>
      </w:r>
      <w:r w:rsidR="00647E9B">
        <w:t xml:space="preserve">, Pre-employment Monitoring Form, </w:t>
      </w:r>
      <w:r w:rsidR="00224EAA">
        <w:t>(this must match the LOI exactly)</w:t>
      </w:r>
    </w:p>
    <w:p w:rsidR="00224EAA" w:rsidRDefault="00B24F3C" w:rsidP="00B24F3C">
      <w:pPr>
        <w:pStyle w:val="ListParagraph"/>
        <w:ind w:left="810"/>
      </w:pPr>
      <w:r>
        <w:t xml:space="preserve">  </w:t>
      </w:r>
      <w:r w:rsidR="00224EAA">
        <w:t xml:space="preserve"> </w:t>
      </w:r>
      <w:r>
        <w:t xml:space="preserve">     </w:t>
      </w:r>
      <w:r w:rsidR="00224EAA">
        <w:t>and route</w:t>
      </w:r>
      <w:r w:rsidR="00647E9B">
        <w:t>s</w:t>
      </w:r>
      <w:r w:rsidR="00224EAA">
        <w:t xml:space="preserve"> to HR Liaison for approval.</w:t>
      </w:r>
    </w:p>
    <w:p w:rsidR="00B24F3C" w:rsidRPr="00B24F3C" w:rsidRDefault="007506E9" w:rsidP="00083C39">
      <w:pPr>
        <w:pStyle w:val="ListParagraph"/>
        <w:numPr>
          <w:ilvl w:val="0"/>
          <w:numId w:val="1"/>
        </w:numPr>
        <w:rPr>
          <w:color w:val="FF0000"/>
        </w:rPr>
      </w:pPr>
      <w:r>
        <w:t>22</w:t>
      </w:r>
      <w:r w:rsidR="00B24F3C">
        <w:t xml:space="preserve">.  </w:t>
      </w:r>
      <w:r w:rsidR="00224EAA">
        <w:t>HR Liaison forwards approval to hire to EOD.</w:t>
      </w:r>
      <w:r w:rsidR="00E95C78">
        <w:t xml:space="preserve">  </w:t>
      </w:r>
      <w:r w:rsidR="00224EAA">
        <w:t xml:space="preserve">If hiring a position with tenure, </w:t>
      </w:r>
      <w:r w:rsidR="0046734B">
        <w:t>department</w:t>
      </w:r>
    </w:p>
    <w:p w:rsidR="00B24F3C" w:rsidRDefault="00B24F3C" w:rsidP="00B24F3C">
      <w:pPr>
        <w:pStyle w:val="ListParagraph"/>
        <w:ind w:left="810"/>
      </w:pPr>
      <w:r>
        <w:t xml:space="preserve">       </w:t>
      </w:r>
      <w:r w:rsidR="0046734B">
        <w:t xml:space="preserve"> level </w:t>
      </w:r>
      <w:r w:rsidR="000127F6">
        <w:t>tenure</w:t>
      </w:r>
      <w:r w:rsidR="00224EAA">
        <w:t xml:space="preserve"> committee </w:t>
      </w:r>
      <w:r w:rsidR="0046734B">
        <w:t>must approve tenure by vote</w:t>
      </w:r>
      <w:r w:rsidR="00224EAA">
        <w:t xml:space="preserve"> </w:t>
      </w:r>
      <w:r w:rsidR="000127F6">
        <w:t>(govern</w:t>
      </w:r>
      <w:r w:rsidR="0046734B">
        <w:t xml:space="preserve">ance document guides who </w:t>
      </w:r>
    </w:p>
    <w:p w:rsidR="00224EAA" w:rsidRPr="0046734B" w:rsidRDefault="00B24F3C" w:rsidP="00B24F3C">
      <w:pPr>
        <w:pStyle w:val="ListParagraph"/>
        <w:ind w:left="810"/>
        <w:rPr>
          <w:color w:val="FF0000"/>
        </w:rPr>
      </w:pPr>
      <w:r>
        <w:t xml:space="preserve">       </w:t>
      </w:r>
      <w:r w:rsidR="0046734B">
        <w:t>votes)</w:t>
      </w:r>
      <w:r w:rsidR="00224EAA">
        <w:t>.</w:t>
      </w:r>
    </w:p>
    <w:p w:rsidR="00B24F3C" w:rsidRPr="00B24F3C" w:rsidRDefault="007506E9" w:rsidP="00083C39">
      <w:pPr>
        <w:pStyle w:val="ListParagraph"/>
        <w:numPr>
          <w:ilvl w:val="0"/>
          <w:numId w:val="1"/>
        </w:numPr>
        <w:rPr>
          <w:color w:val="FF0000"/>
        </w:rPr>
      </w:pPr>
      <w:r>
        <w:t>23</w:t>
      </w:r>
      <w:r w:rsidR="00B24F3C">
        <w:t xml:space="preserve">.  </w:t>
      </w:r>
      <w:r w:rsidR="00224EAA">
        <w:t>At the same time, draft the letter of offer, letter of intent, start-up template, official start-</w:t>
      </w:r>
    </w:p>
    <w:p w:rsidR="00B24F3C" w:rsidRDefault="00B24F3C" w:rsidP="00B24F3C">
      <w:pPr>
        <w:pStyle w:val="ListParagraph"/>
        <w:ind w:left="810"/>
      </w:pPr>
      <w:r>
        <w:t xml:space="preserve">       </w:t>
      </w:r>
      <w:r w:rsidR="00224EAA">
        <w:t>up reques</w:t>
      </w:r>
      <w:r w:rsidR="005F5785">
        <w:t>t form and</w:t>
      </w:r>
      <w:r w:rsidR="00224EAA">
        <w:t xml:space="preserve"> request </w:t>
      </w:r>
      <w:r w:rsidR="005F5785">
        <w:t xml:space="preserve">for salary support </w:t>
      </w:r>
      <w:r w:rsidR="00224EAA">
        <w:t>form</w:t>
      </w:r>
      <w:r w:rsidR="00E95C78">
        <w:t xml:space="preserve"> if needed</w:t>
      </w:r>
      <w:r w:rsidR="00224EAA">
        <w:t>.  The letter of offer is</w:t>
      </w:r>
    </w:p>
    <w:p w:rsidR="00B24F3C" w:rsidRDefault="00B24F3C" w:rsidP="00B24F3C">
      <w:pPr>
        <w:pStyle w:val="ListParagraph"/>
        <w:ind w:left="810"/>
      </w:pPr>
      <w:r>
        <w:t xml:space="preserve">     </w:t>
      </w:r>
      <w:r w:rsidR="00224EAA">
        <w:t xml:space="preserve"> </w:t>
      </w:r>
      <w:r>
        <w:t xml:space="preserve"> </w:t>
      </w:r>
      <w:r w:rsidR="00224EAA">
        <w:t>the directive for what is included in the st</w:t>
      </w:r>
      <w:r w:rsidR="005F5785">
        <w:t>art-up and salary support</w:t>
      </w:r>
      <w:r w:rsidR="00224EAA">
        <w:t xml:space="preserve"> request as all</w:t>
      </w:r>
    </w:p>
    <w:p w:rsidR="00B24F3C" w:rsidRDefault="00224EAA" w:rsidP="00B24F3C">
      <w:pPr>
        <w:pStyle w:val="ListParagraph"/>
        <w:ind w:left="810"/>
      </w:pPr>
      <w:r>
        <w:t xml:space="preserve"> </w:t>
      </w:r>
      <w:r w:rsidR="00B24F3C">
        <w:t xml:space="preserve">      </w:t>
      </w:r>
      <w:r>
        <w:t xml:space="preserve">items must match.  The letter of intent amounts, dates, </w:t>
      </w:r>
      <w:r w:rsidR="00DF23DF">
        <w:t>and all other information</w:t>
      </w:r>
      <w:r>
        <w:t xml:space="preserve"> need to</w:t>
      </w:r>
    </w:p>
    <w:p w:rsidR="00B24F3C" w:rsidRDefault="00B24F3C" w:rsidP="00B24F3C">
      <w:pPr>
        <w:pStyle w:val="ListParagraph"/>
        <w:ind w:left="810"/>
      </w:pPr>
      <w:r>
        <w:t xml:space="preserve">   </w:t>
      </w:r>
      <w:r w:rsidR="00224EAA">
        <w:t xml:space="preserve"> </w:t>
      </w:r>
      <w:r>
        <w:t xml:space="preserve">   </w:t>
      </w:r>
      <w:r w:rsidR="00224EAA">
        <w:t xml:space="preserve">be </w:t>
      </w:r>
      <w:r w:rsidR="001A6CF6">
        <w:t>prope</w:t>
      </w:r>
      <w:r w:rsidR="00252E56">
        <w:t>rly reflected on all forms and o</w:t>
      </w:r>
      <w:r w:rsidR="001A6CF6">
        <w:t>n the PEMF on the HR system.</w:t>
      </w:r>
      <w:r>
        <w:t xml:space="preserve">  All of these forms</w:t>
      </w:r>
    </w:p>
    <w:p w:rsidR="00B24F3C" w:rsidRDefault="00B24F3C" w:rsidP="00B24F3C">
      <w:pPr>
        <w:pStyle w:val="ListParagraph"/>
        <w:ind w:left="810"/>
      </w:pPr>
      <w:r>
        <w:t xml:space="preserve">       </w:t>
      </w:r>
      <w:r w:rsidR="00E34884">
        <w:t xml:space="preserve">and letters are sent to the HR Liaison who ensures all documents are sent to proper </w:t>
      </w:r>
    </w:p>
    <w:p w:rsidR="00B24F3C" w:rsidRDefault="00B24F3C" w:rsidP="00B24F3C">
      <w:pPr>
        <w:pStyle w:val="ListParagraph"/>
        <w:ind w:left="810"/>
      </w:pPr>
      <w:r>
        <w:t xml:space="preserve">       </w:t>
      </w:r>
      <w:r w:rsidR="00E34884">
        <w:t>authorities for review and approval.</w:t>
      </w:r>
      <w:r w:rsidR="008E3289">
        <w:t xml:space="preserve">  If the candidate is being hired with tenure the</w:t>
      </w:r>
    </w:p>
    <w:p w:rsidR="00B24F3C" w:rsidRDefault="00B24F3C" w:rsidP="00B24F3C">
      <w:pPr>
        <w:pStyle w:val="ListParagraph"/>
        <w:ind w:left="810"/>
      </w:pPr>
      <w:r>
        <w:t xml:space="preserve">   </w:t>
      </w:r>
      <w:r w:rsidR="008E3289">
        <w:t xml:space="preserve"> </w:t>
      </w:r>
      <w:r>
        <w:t xml:space="preserve">   </w:t>
      </w:r>
      <w:r w:rsidR="008E3289">
        <w:t>outcome</w:t>
      </w:r>
      <w:r>
        <w:t xml:space="preserve"> </w:t>
      </w:r>
      <w:r w:rsidR="008E3289">
        <w:t>of the tenure vote, a document stating why tenure is justified and copies of</w:t>
      </w:r>
    </w:p>
    <w:p w:rsidR="00B24F3C" w:rsidRPr="00B24F3C" w:rsidRDefault="00B24F3C" w:rsidP="00B24F3C">
      <w:pPr>
        <w:pStyle w:val="ListParagraph"/>
        <w:ind w:left="810"/>
      </w:pPr>
      <w:r>
        <w:t xml:space="preserve">      </w:t>
      </w:r>
      <w:r w:rsidR="008E3289">
        <w:t xml:space="preserve"> </w:t>
      </w:r>
      <w:r w:rsidR="008E3289" w:rsidRPr="00073558">
        <w:t xml:space="preserve">external review letters </w:t>
      </w:r>
      <w:r w:rsidR="008E3289">
        <w:t>also need to be sent to the HR Liaison and Dean.</w:t>
      </w:r>
      <w:r w:rsidR="00E95C78">
        <w:t xml:space="preserve"> </w:t>
      </w:r>
    </w:p>
    <w:p w:rsidR="001A6CF6" w:rsidRDefault="007506E9" w:rsidP="00083C39">
      <w:pPr>
        <w:pStyle w:val="ListParagraph"/>
        <w:numPr>
          <w:ilvl w:val="0"/>
          <w:numId w:val="1"/>
        </w:numPr>
      </w:pPr>
      <w:r>
        <w:t>24</w:t>
      </w:r>
      <w:r w:rsidR="00B24F3C">
        <w:t xml:space="preserve">.  </w:t>
      </w:r>
      <w:r w:rsidR="001A6CF6">
        <w:t>Specific instructions for the forms are as follows:</w:t>
      </w:r>
    </w:p>
    <w:p w:rsidR="001A6CF6" w:rsidRDefault="00037845" w:rsidP="00037845">
      <w:pPr>
        <w:pStyle w:val="ListParagraph"/>
        <w:numPr>
          <w:ilvl w:val="0"/>
          <w:numId w:val="4"/>
        </w:numPr>
      </w:pPr>
      <w:r>
        <w:rPr>
          <w:b/>
        </w:rPr>
        <w:t xml:space="preserve">        A.  </w:t>
      </w:r>
      <w:r w:rsidR="001A6CF6" w:rsidRPr="006C3AE9">
        <w:rPr>
          <w:b/>
        </w:rPr>
        <w:t xml:space="preserve"> LOI</w:t>
      </w:r>
      <w:r w:rsidR="001A6CF6">
        <w:t xml:space="preserve">  </w:t>
      </w:r>
      <w:hyperlink r:id="rId11" w:history="1">
        <w:r w:rsidR="00975C57" w:rsidRPr="00975C57">
          <w:rPr>
            <w:rStyle w:val="Hyperlink"/>
          </w:rPr>
          <w:t>http://www.hrs.iastate.edu/hrs/files/loireg.doc</w:t>
        </w:r>
      </w:hyperlink>
      <w:r w:rsidR="008E3289">
        <w:t xml:space="preserve"> </w:t>
      </w:r>
    </w:p>
    <w:p w:rsidR="00037845" w:rsidRDefault="00037845" w:rsidP="006C3AE9">
      <w:pPr>
        <w:pStyle w:val="ListParagraph"/>
        <w:ind w:left="1080"/>
      </w:pPr>
      <w:r>
        <w:t xml:space="preserve">         </w:t>
      </w:r>
      <w:r w:rsidR="008E3289">
        <w:t>Complete the form, Department C</w:t>
      </w:r>
      <w:r w:rsidR="001A6CF6">
        <w:t>hair signs and sends form to HR Liaison.  HR Liaison</w:t>
      </w:r>
    </w:p>
    <w:p w:rsidR="003005C9" w:rsidRDefault="00037845" w:rsidP="006C3AE9">
      <w:pPr>
        <w:pStyle w:val="ListParagraph"/>
        <w:ind w:left="1080"/>
      </w:pPr>
      <w:r>
        <w:t xml:space="preserve">     </w:t>
      </w:r>
      <w:r w:rsidR="001A6CF6">
        <w:t xml:space="preserve"> </w:t>
      </w:r>
      <w:r>
        <w:t xml:space="preserve">   </w:t>
      </w:r>
      <w:r w:rsidR="001A6CF6">
        <w:t>secures D</w:t>
      </w:r>
      <w:r w:rsidR="00252E56">
        <w:t>ean’s signature</w:t>
      </w:r>
      <w:r w:rsidR="001A6CF6">
        <w:t>.</w:t>
      </w:r>
      <w:r w:rsidR="003005C9">
        <w:t xml:space="preserve">  Statement should be included under special conditions on   </w:t>
      </w:r>
    </w:p>
    <w:p w:rsidR="003005C9" w:rsidRDefault="003005C9" w:rsidP="003005C9">
      <w:pPr>
        <w:pStyle w:val="ListParagraph"/>
        <w:ind w:left="1080"/>
      </w:pPr>
      <w:r>
        <w:t xml:space="preserve">         LOI that person is authorized to work for international hires.  Here is a link containing </w:t>
      </w:r>
    </w:p>
    <w:p w:rsidR="003005C9" w:rsidRDefault="003005C9" w:rsidP="003005C9">
      <w:pPr>
        <w:pStyle w:val="ListParagraph"/>
        <w:ind w:left="1080"/>
      </w:pPr>
      <w:r>
        <w:t xml:space="preserve">         international hire information for your reference.  Contact Deb Vance in the </w:t>
      </w:r>
    </w:p>
    <w:p w:rsidR="00637D3F" w:rsidRDefault="003005C9" w:rsidP="00637D3F">
      <w:pPr>
        <w:pStyle w:val="ListParagraph"/>
        <w:ind w:left="1080"/>
      </w:pPr>
      <w:r>
        <w:t xml:space="preserve">       </w:t>
      </w:r>
      <w:r w:rsidR="009040A1">
        <w:t xml:space="preserve"> </w:t>
      </w:r>
      <w:r>
        <w:t xml:space="preserve"> International </w:t>
      </w:r>
      <w:r w:rsidR="009040A1">
        <w:t xml:space="preserve">Student and Scholars area for specific advice and instructions.  </w:t>
      </w:r>
      <w:hyperlink r:id="rId12" w:history="1">
        <w:r w:rsidR="004D7F75">
          <w:rPr>
            <w:rStyle w:val="Hyperlink"/>
          </w:rPr>
          <w:t>http://www.isso.iastate.edu/joomla/index.php?option=com_content&amp;view=article&amp;id=33&amp;Itemid=109</w:t>
        </w:r>
      </w:hyperlink>
    </w:p>
    <w:p w:rsidR="00024432" w:rsidRDefault="0073286B" w:rsidP="00637D3F">
      <w:pPr>
        <w:pStyle w:val="ListParagraph"/>
        <w:ind w:left="1080"/>
      </w:pPr>
      <w:r w:rsidRPr="00637D3F">
        <w:rPr>
          <w:b/>
        </w:rPr>
        <w:t xml:space="preserve"> B.  </w:t>
      </w:r>
      <w:r w:rsidR="00024432" w:rsidRPr="00637D3F">
        <w:rPr>
          <w:b/>
        </w:rPr>
        <w:t xml:space="preserve">Start-up </w:t>
      </w:r>
      <w:r w:rsidR="000643B6" w:rsidRPr="00637D3F">
        <w:rPr>
          <w:b/>
        </w:rPr>
        <w:t>Template</w:t>
      </w:r>
      <w:r w:rsidR="000643B6">
        <w:t xml:space="preserve"> (</w:t>
      </w:r>
      <w:r w:rsidR="00554C3D">
        <w:t xml:space="preserve">This form is a separate attachment sent with e-mail).  </w:t>
      </w:r>
    </w:p>
    <w:p w:rsidR="00037845" w:rsidRDefault="00037845" w:rsidP="00F01D46">
      <w:pPr>
        <w:pStyle w:val="ListParagraph"/>
        <w:ind w:left="1080"/>
      </w:pPr>
      <w:r>
        <w:t xml:space="preserve">         </w:t>
      </w:r>
      <w:r w:rsidR="00F4199C">
        <w:t>Categories in</w:t>
      </w:r>
      <w:r w:rsidR="00527F0B">
        <w:t xml:space="preserve"> the</w:t>
      </w:r>
      <w:r w:rsidR="00F4199C">
        <w:t xml:space="preserve"> left column may be changed to align with </w:t>
      </w:r>
      <w:r>
        <w:t>the letter of offer.  The</w:t>
      </w:r>
    </w:p>
    <w:p w:rsidR="00037845" w:rsidRDefault="0073286B" w:rsidP="00F01D46">
      <w:pPr>
        <w:pStyle w:val="ListParagraph"/>
        <w:ind w:left="1080"/>
      </w:pPr>
      <w:r>
        <w:t xml:space="preserve">         </w:t>
      </w:r>
      <w:r w:rsidR="00527F0B">
        <w:t>a</w:t>
      </w:r>
      <w:r w:rsidR="00F4199C">
        <w:t xml:space="preserve">mount of support by department, college and </w:t>
      </w:r>
      <w:r w:rsidR="00527F0B">
        <w:t>VPR/ED should be fairly equal.  The</w:t>
      </w:r>
    </w:p>
    <w:p w:rsidR="00037845" w:rsidRDefault="00037845" w:rsidP="00F01D46">
      <w:pPr>
        <w:pStyle w:val="ListParagraph"/>
        <w:ind w:left="1080"/>
      </w:pPr>
      <w:r>
        <w:t xml:space="preserve">    </w:t>
      </w:r>
      <w:r w:rsidR="00527F0B">
        <w:t xml:space="preserve"> </w:t>
      </w:r>
      <w:r w:rsidR="0073286B">
        <w:t xml:space="preserve">    </w:t>
      </w:r>
      <w:r w:rsidR="00527F0B">
        <w:t xml:space="preserve">VPR/ED will not support more than 50% of the total start-up package </w:t>
      </w:r>
      <w:r w:rsidR="00F01D46">
        <w:t xml:space="preserve">cost </w:t>
      </w:r>
      <w:r w:rsidR="00527F0B">
        <w:t>or any costs</w:t>
      </w:r>
    </w:p>
    <w:p w:rsidR="00037845" w:rsidRDefault="00037845" w:rsidP="00F01D46">
      <w:pPr>
        <w:pStyle w:val="ListParagraph"/>
        <w:ind w:left="1080"/>
      </w:pPr>
      <w:r>
        <w:t xml:space="preserve">         </w:t>
      </w:r>
      <w:r w:rsidR="00527F0B">
        <w:t xml:space="preserve">that are not research related.  The amounts should be rounded to the nearest $1,000.  </w:t>
      </w:r>
    </w:p>
    <w:p w:rsidR="00037845" w:rsidRDefault="0073286B" w:rsidP="00037845">
      <w:pPr>
        <w:pStyle w:val="ListParagraph"/>
        <w:ind w:left="1080"/>
      </w:pPr>
      <w:r>
        <w:t xml:space="preserve">         </w:t>
      </w:r>
      <w:r w:rsidR="00527F0B">
        <w:t>The information in the far right table of the template will reflect what is entered on</w:t>
      </w:r>
      <w:r w:rsidR="00037845">
        <w:t xml:space="preserve"> </w:t>
      </w:r>
    </w:p>
    <w:p w:rsidR="00037845" w:rsidRDefault="00527F0B" w:rsidP="00037845">
      <w:pPr>
        <w:pStyle w:val="ListParagraph"/>
        <w:ind w:left="1080"/>
      </w:pPr>
      <w:r>
        <w:t xml:space="preserve"> </w:t>
      </w:r>
      <w:r w:rsidR="0073286B">
        <w:t xml:space="preserve">       </w:t>
      </w:r>
      <w:r w:rsidR="00037845">
        <w:t xml:space="preserve"> </w:t>
      </w:r>
      <w:r>
        <w:t xml:space="preserve">the official start-up request form.  E-mail this completed template to the </w:t>
      </w:r>
      <w:r w:rsidR="000F301D">
        <w:t xml:space="preserve">CHS </w:t>
      </w:r>
    </w:p>
    <w:p w:rsidR="00037845" w:rsidRDefault="0073286B" w:rsidP="00037845">
      <w:pPr>
        <w:pStyle w:val="ListParagraph"/>
        <w:ind w:left="1080"/>
      </w:pPr>
      <w:r>
        <w:t xml:space="preserve">         </w:t>
      </w:r>
      <w:r w:rsidR="000F301D">
        <w:t>Associate</w:t>
      </w:r>
      <w:r w:rsidR="00037845">
        <w:t xml:space="preserve"> </w:t>
      </w:r>
      <w:r w:rsidR="000F301D">
        <w:t>Dean for R</w:t>
      </w:r>
      <w:r w:rsidR="00527F0B">
        <w:t>esearch and the HR Liaison for approval/input before proceedin</w:t>
      </w:r>
      <w:r w:rsidR="005F5785">
        <w:t>g</w:t>
      </w:r>
    </w:p>
    <w:p w:rsidR="00037845" w:rsidRDefault="0073286B" w:rsidP="00037845">
      <w:pPr>
        <w:pStyle w:val="ListParagraph"/>
        <w:ind w:left="1080"/>
      </w:pPr>
      <w:r>
        <w:t xml:space="preserve">        </w:t>
      </w:r>
      <w:r w:rsidR="00037845">
        <w:t xml:space="preserve"> further. </w:t>
      </w:r>
      <w:r w:rsidR="00527F0B">
        <w:t>Verify that the department/college have suffici</w:t>
      </w:r>
      <w:r w:rsidR="00037845">
        <w:t>ent funds available to cover</w:t>
      </w:r>
    </w:p>
    <w:p w:rsidR="00165A62" w:rsidRDefault="0073286B" w:rsidP="00165A62">
      <w:pPr>
        <w:pStyle w:val="ListParagraph"/>
        <w:spacing w:after="0"/>
        <w:ind w:left="1080"/>
      </w:pPr>
      <w:r>
        <w:t xml:space="preserve">         </w:t>
      </w:r>
      <w:r w:rsidR="00037845">
        <w:t xml:space="preserve">the </w:t>
      </w:r>
      <w:r w:rsidR="00527F0B">
        <w:t>proposed start-up costs.</w:t>
      </w:r>
    </w:p>
    <w:p w:rsidR="006406E2" w:rsidRDefault="00165A62" w:rsidP="00165A62">
      <w:pPr>
        <w:spacing w:after="0"/>
      </w:pPr>
      <w:r>
        <w:t xml:space="preserve">           </w:t>
      </w:r>
      <w:r>
        <w:sym w:font="Symbol" w:char="F07F"/>
      </w:r>
      <w:r>
        <w:t xml:space="preserve">          </w:t>
      </w:r>
      <w:r w:rsidRPr="00165A62">
        <w:rPr>
          <w:b/>
        </w:rPr>
        <w:t>C.</w:t>
      </w:r>
      <w:r w:rsidR="0073286B" w:rsidRPr="00165A62">
        <w:rPr>
          <w:b/>
        </w:rPr>
        <w:t xml:space="preserve"> </w:t>
      </w:r>
      <w:r w:rsidRPr="00165A62">
        <w:rPr>
          <w:b/>
        </w:rPr>
        <w:t xml:space="preserve"> </w:t>
      </w:r>
      <w:r w:rsidR="00024432" w:rsidRPr="00165A62">
        <w:rPr>
          <w:b/>
        </w:rPr>
        <w:t>Official Start-up Request Form</w:t>
      </w:r>
      <w:r w:rsidR="00252E56">
        <w:t xml:space="preserve"> </w:t>
      </w:r>
      <w:r>
        <w:t xml:space="preserve">           </w:t>
      </w:r>
    </w:p>
    <w:p w:rsidR="00165A62" w:rsidRDefault="00165A62" w:rsidP="00165A62">
      <w:pPr>
        <w:pStyle w:val="ListParagraph"/>
        <w:spacing w:after="0"/>
        <w:ind w:left="1080"/>
      </w:pPr>
      <w:r>
        <w:t xml:space="preserve">         </w:t>
      </w:r>
      <w:hyperlink r:id="rId13" w:history="1">
        <w:r w:rsidRPr="0032505C">
          <w:rPr>
            <w:rStyle w:val="Hyperlink"/>
            <w:rFonts w:ascii="Arial" w:hAnsi="Arial" w:cs="Arial"/>
            <w:sz w:val="20"/>
            <w:szCs w:val="20"/>
          </w:rPr>
          <w:t>www.vpresearch.iastate.edu/researcher/funding/internal/docs/faculty-start-up-funds-request.docx</w:t>
        </w:r>
      </w:hyperlink>
      <w:r w:rsidRPr="00165A62">
        <w:rPr>
          <w:rStyle w:val="gsa-u2"/>
          <w:rFonts w:ascii="Arial" w:hAnsi="Arial" w:cs="Arial"/>
        </w:rPr>
        <w:t xml:space="preserve">   </w:t>
      </w:r>
    </w:p>
    <w:p w:rsidR="00C236DD" w:rsidRDefault="005C5F92" w:rsidP="0073286B">
      <w:pPr>
        <w:pStyle w:val="ListParagraph"/>
        <w:ind w:left="1440"/>
      </w:pPr>
      <w:r>
        <w:t>Enter the name, rank, department and college information on the form.  Enter the total</w:t>
      </w:r>
      <w:r w:rsidR="006406E2">
        <w:t xml:space="preserve"> </w:t>
      </w:r>
      <w:r>
        <w:t xml:space="preserve">cost of the start-up on the Total cost line of form.  Determine, with guidance from the </w:t>
      </w:r>
      <w:r>
        <w:lastRenderedPageBreak/>
        <w:t>Associate Dean of Research whether this is a formula-based or strategic request.  There are guidelines on the second page of the official form that outline requirements for a strategic request.  Once the type of request is determined, enter the amount being requested from the VPR/ED on either line A or B.  Using the chart from the start-up template from step 24B above, enter the amounts per year and source in the table of the official start-up form.</w:t>
      </w:r>
      <w:hyperlink r:id="rId14" w:history="1"/>
    </w:p>
    <w:p w:rsidR="00E415BF" w:rsidRDefault="00C236DD" w:rsidP="0073286B">
      <w:pPr>
        <w:pStyle w:val="ListParagraph"/>
        <w:ind w:left="1440"/>
      </w:pPr>
      <w:r>
        <w:t>T</w:t>
      </w:r>
      <w:r w:rsidR="00E415BF">
        <w:t xml:space="preserve">he Department Chair needs to sign and date the form and send it to the HR Liaison to secure the Associate Dean for Research </w:t>
      </w:r>
      <w:r w:rsidR="00E34884">
        <w:t>and/</w:t>
      </w:r>
      <w:r w:rsidR="00E415BF">
        <w:t>or Dean’s signature.  Along with thi</w:t>
      </w:r>
      <w:r w:rsidR="00E34884">
        <w:t xml:space="preserve">s a copy of the candidate’s CV, </w:t>
      </w:r>
      <w:r w:rsidR="00E415BF">
        <w:t>a list of funding agencies that this candidate is most likely to seek and receive funding from and a plan that describes how the department will mentor the new faculty member in obtaining grants must be sent to the HR Liaison.</w:t>
      </w:r>
    </w:p>
    <w:p w:rsidR="009F1523" w:rsidRPr="009F1523" w:rsidRDefault="0073286B" w:rsidP="009F152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b/>
        </w:rPr>
        <w:t xml:space="preserve">      D.  </w:t>
      </w:r>
      <w:r w:rsidR="006A7E09">
        <w:t xml:space="preserve"> </w:t>
      </w:r>
      <w:hyperlink r:id="rId15" w:history="1">
        <w:r w:rsidR="00312645" w:rsidRPr="00312645">
          <w:rPr>
            <w:rStyle w:val="Hyperlink"/>
            <w:b/>
            <w:color w:val="auto"/>
            <w:u w:val="none"/>
          </w:rPr>
          <w:t>Request for Salary</w:t>
        </w:r>
        <w:r w:rsidR="003C3C45">
          <w:rPr>
            <w:rStyle w:val="Hyperlink"/>
            <w:b/>
            <w:color w:val="auto"/>
            <w:u w:val="none"/>
          </w:rPr>
          <w:t xml:space="preserve"> </w:t>
        </w:r>
        <w:r w:rsidR="00312645" w:rsidRPr="00312645">
          <w:rPr>
            <w:rStyle w:val="Hyperlink"/>
            <w:b/>
            <w:color w:val="auto"/>
            <w:u w:val="none"/>
          </w:rPr>
          <w:t>Support Form.</w:t>
        </w:r>
      </w:hyperlink>
      <w:r w:rsidR="00F1712B" w:rsidRPr="00312645">
        <w:rPr>
          <w:rStyle w:val="Hyperlink"/>
          <w:color w:val="auto"/>
        </w:rPr>
        <w:t xml:space="preserve"> </w:t>
      </w:r>
      <w:r w:rsidR="00312645">
        <w:rPr>
          <w:rStyle w:val="Hyperlink"/>
          <w:color w:val="auto"/>
        </w:rPr>
        <w:t xml:space="preserve"> </w:t>
      </w:r>
    </w:p>
    <w:p w:rsidR="004F473B" w:rsidRPr="00023D2B" w:rsidRDefault="009F1523" w:rsidP="00204906">
      <w:pPr>
        <w:pStyle w:val="ListParagraph"/>
        <w:ind w:left="810"/>
        <w:rPr>
          <w:u w:val="single"/>
        </w:rPr>
      </w:pPr>
      <w:r w:rsidRPr="00204906">
        <w:rPr>
          <w:rStyle w:val="Hyperlink"/>
          <w:color w:val="auto"/>
          <w:u w:val="none"/>
        </w:rPr>
        <w:t xml:space="preserve">            </w:t>
      </w:r>
      <w:hyperlink r:id="rId16" w:history="1">
        <w:r w:rsidR="004F473B" w:rsidRPr="00A00D84">
          <w:rPr>
            <w:rStyle w:val="Hyperlink"/>
          </w:rPr>
          <w:t>http://www.provost.iastate.edu/fad/RequestSalarySupport.docx</w:t>
        </w:r>
      </w:hyperlink>
    </w:p>
    <w:p w:rsidR="00252E56" w:rsidRDefault="003C3C45" w:rsidP="0073286B">
      <w:pPr>
        <w:pStyle w:val="ListParagraph"/>
        <w:ind w:left="1440"/>
      </w:pPr>
      <w:r>
        <w:t>If salary support</w:t>
      </w:r>
      <w:r w:rsidR="000F301D">
        <w:t xml:space="preserve"> is being requested, f</w:t>
      </w:r>
      <w:r w:rsidR="00E34884">
        <w:t>ill out the data as requested on the form ensuring that all info</w:t>
      </w:r>
      <w:r w:rsidR="00524FE0">
        <w:t>rmation matches data on all other completed forms and letters.  We typically are asking f</w:t>
      </w:r>
      <w:r w:rsidR="0076005F">
        <w:t>or permanent funding for spousal</w:t>
      </w:r>
      <w:r w:rsidR="00524FE0">
        <w:t xml:space="preserve"> accommodations.  Under item #3 of the form where you describe the specific request ensure that you include the statement that </w:t>
      </w:r>
      <w:r w:rsidR="0076005F">
        <w:t>we are seeking 1/3 of the spouse</w:t>
      </w:r>
      <w:r w:rsidR="00524FE0">
        <w:t>’s salary on a permanent basis.  Complete all questions through item #8.  For the chart</w:t>
      </w:r>
      <w:r w:rsidR="006A7E09">
        <w:t>, double left click within the chart to open chart for data entry.  Enter faculty name and date at top of chart.  The partner accommodation salary for the Provost should be 1/3 of the total and the benefits will calculate automatically.  The start-up information needs to be added to this report as outlined in the prior start-up template</w:t>
      </w:r>
      <w:r w:rsidR="007103C7">
        <w:t>.  F</w:t>
      </w:r>
      <w:r w:rsidR="006A7E09">
        <w:t xml:space="preserve">ill out the chart for each year that the start-up will cover.  Click outside of the chart area to complete the form.  Send this completed form electronically to the HR Liaison and Dean. </w:t>
      </w:r>
      <w:r w:rsidR="00524FE0">
        <w:t xml:space="preserve"> </w:t>
      </w:r>
    </w:p>
    <w:p w:rsidR="007103C7" w:rsidRDefault="007506E9" w:rsidP="00961C8B">
      <w:pPr>
        <w:pStyle w:val="ListParagraph"/>
        <w:numPr>
          <w:ilvl w:val="0"/>
          <w:numId w:val="1"/>
        </w:numPr>
      </w:pPr>
      <w:r>
        <w:t>25</w:t>
      </w:r>
      <w:r w:rsidR="00B24F3C">
        <w:t xml:space="preserve">.  </w:t>
      </w:r>
      <w:r w:rsidR="00961C8B">
        <w:t>HR Liaison or Dean sends all information to proper areas for approval and review.</w:t>
      </w:r>
    </w:p>
    <w:p w:rsidR="00B24F3C" w:rsidRDefault="007506E9" w:rsidP="00961C8B">
      <w:pPr>
        <w:pStyle w:val="ListParagraph"/>
        <w:numPr>
          <w:ilvl w:val="0"/>
          <w:numId w:val="1"/>
        </w:numPr>
      </w:pPr>
      <w:r>
        <w:t>26</w:t>
      </w:r>
      <w:r w:rsidR="00B24F3C">
        <w:t xml:space="preserve">.  </w:t>
      </w:r>
      <w:r w:rsidR="00961C8B">
        <w:t>Provost reviews data and sends approval to hire to EOD.  EOD initiates the background</w:t>
      </w:r>
    </w:p>
    <w:p w:rsidR="00961C8B" w:rsidRDefault="00B24F3C" w:rsidP="00B24F3C">
      <w:pPr>
        <w:pStyle w:val="ListParagraph"/>
        <w:ind w:left="810"/>
      </w:pPr>
      <w:r>
        <w:t xml:space="preserve">      </w:t>
      </w:r>
      <w:r w:rsidR="00961C8B">
        <w:t xml:space="preserve"> check.</w:t>
      </w:r>
    </w:p>
    <w:p w:rsidR="00B24F3C" w:rsidRDefault="007506E9" w:rsidP="00961C8B">
      <w:pPr>
        <w:pStyle w:val="ListParagraph"/>
        <w:numPr>
          <w:ilvl w:val="0"/>
          <w:numId w:val="1"/>
        </w:numPr>
      </w:pPr>
      <w:r>
        <w:t>27</w:t>
      </w:r>
      <w:r w:rsidR="00B24F3C">
        <w:t xml:space="preserve">.  </w:t>
      </w:r>
      <w:r w:rsidR="00961C8B">
        <w:t xml:space="preserve">Once background check is completed, Provost will sign LOI and return to Department or </w:t>
      </w:r>
    </w:p>
    <w:p w:rsidR="00961C8B" w:rsidRDefault="00B24F3C" w:rsidP="00B24F3C">
      <w:pPr>
        <w:pStyle w:val="ListParagraph"/>
        <w:ind w:left="810"/>
      </w:pPr>
      <w:r>
        <w:t xml:space="preserve">       </w:t>
      </w:r>
      <w:r w:rsidR="00961C8B">
        <w:t>Dean’s office.   HR will send email that hire is approved.</w:t>
      </w:r>
    </w:p>
    <w:p w:rsidR="00B24F3C" w:rsidRDefault="007506E9" w:rsidP="00961C8B">
      <w:pPr>
        <w:pStyle w:val="ListParagraph"/>
        <w:numPr>
          <w:ilvl w:val="0"/>
          <w:numId w:val="1"/>
        </w:numPr>
      </w:pPr>
      <w:r>
        <w:t>28</w:t>
      </w:r>
      <w:r w:rsidR="00B24F3C">
        <w:t xml:space="preserve">.  </w:t>
      </w:r>
      <w:r w:rsidR="00961C8B">
        <w:t>Typically decisions regarding start-up s</w:t>
      </w:r>
      <w:r w:rsidR="003C3C45">
        <w:t>upport and salary support</w:t>
      </w:r>
      <w:r w:rsidR="00961C8B">
        <w:t xml:space="preserve"> agreements are </w:t>
      </w:r>
    </w:p>
    <w:p w:rsidR="00961C8B" w:rsidRDefault="00B24F3C" w:rsidP="00B24F3C">
      <w:pPr>
        <w:pStyle w:val="ListParagraph"/>
        <w:ind w:left="810"/>
      </w:pPr>
      <w:r>
        <w:t xml:space="preserve">       </w:t>
      </w:r>
      <w:r w:rsidR="00961C8B">
        <w:t>received close to this time.</w:t>
      </w:r>
    </w:p>
    <w:p w:rsidR="00961C8B" w:rsidRDefault="007506E9" w:rsidP="00961C8B">
      <w:pPr>
        <w:pStyle w:val="ListParagraph"/>
        <w:numPr>
          <w:ilvl w:val="0"/>
          <w:numId w:val="1"/>
        </w:numPr>
      </w:pPr>
      <w:r>
        <w:t>29</w:t>
      </w:r>
      <w:r w:rsidR="00B24F3C">
        <w:t xml:space="preserve">.  </w:t>
      </w:r>
      <w:r w:rsidR="00961C8B">
        <w:t>Department Chair can now send letter of offer and letter of intent to candidate.</w:t>
      </w:r>
      <w:r w:rsidR="003005C9">
        <w:t xml:space="preserve">  </w:t>
      </w:r>
    </w:p>
    <w:p w:rsidR="00B24F3C" w:rsidRDefault="007506E9" w:rsidP="00961C8B">
      <w:pPr>
        <w:pStyle w:val="ListParagraph"/>
        <w:numPr>
          <w:ilvl w:val="0"/>
          <w:numId w:val="1"/>
        </w:numPr>
      </w:pPr>
      <w:r>
        <w:t>30</w:t>
      </w:r>
      <w:r w:rsidR="00B24F3C">
        <w:t xml:space="preserve">.  </w:t>
      </w:r>
      <w:r w:rsidR="00961C8B">
        <w:t>Once candidate has signed the letter of intent and returned it to the Department Chair, the</w:t>
      </w:r>
    </w:p>
    <w:p w:rsidR="00961C8B" w:rsidRDefault="00B24F3C" w:rsidP="00B24F3C">
      <w:pPr>
        <w:pStyle w:val="ListParagraph"/>
        <w:ind w:left="810"/>
      </w:pPr>
      <w:r>
        <w:t xml:space="preserve">       </w:t>
      </w:r>
      <w:r w:rsidR="00961C8B">
        <w:t xml:space="preserve"> PEMF can be confirmed by entering the person’s social security number in the HR system. </w:t>
      </w:r>
    </w:p>
    <w:p w:rsidR="00B24F3C" w:rsidRDefault="008D75D4" w:rsidP="00961C8B">
      <w:pPr>
        <w:pStyle w:val="ListParagraph"/>
        <w:numPr>
          <w:ilvl w:val="0"/>
          <w:numId w:val="1"/>
        </w:numPr>
      </w:pPr>
      <w:r>
        <w:t>31</w:t>
      </w:r>
      <w:r w:rsidR="00B24F3C">
        <w:t xml:space="preserve">.  </w:t>
      </w:r>
      <w:r w:rsidR="00961C8B">
        <w:t xml:space="preserve">24 hours after the PEMF has been confirmed, the EPA can be initiated to enter the faculty </w:t>
      </w:r>
    </w:p>
    <w:p w:rsidR="002E43C2" w:rsidRDefault="00B24F3C" w:rsidP="00B24F3C">
      <w:pPr>
        <w:pStyle w:val="ListParagraph"/>
        <w:ind w:left="810"/>
      </w:pPr>
      <w:r>
        <w:t xml:space="preserve">       </w:t>
      </w:r>
      <w:r w:rsidR="00961C8B">
        <w:t>member in the payroll system.</w:t>
      </w:r>
    </w:p>
    <w:p w:rsidR="002E43C2" w:rsidRDefault="002E43C2">
      <w:r>
        <w:br w:type="page"/>
      </w:r>
    </w:p>
    <w:p w:rsidR="00961C8B" w:rsidRDefault="00961C8B" w:rsidP="00B24F3C">
      <w:pPr>
        <w:pStyle w:val="ListParagraph"/>
        <w:ind w:left="810"/>
      </w:pPr>
    </w:p>
    <w:sectPr w:rsidR="00961C8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73" w:rsidRDefault="00EE1B73" w:rsidP="00973F7C">
      <w:pPr>
        <w:spacing w:after="0" w:line="240" w:lineRule="auto"/>
      </w:pPr>
      <w:r>
        <w:separator/>
      </w:r>
    </w:p>
  </w:endnote>
  <w:endnote w:type="continuationSeparator" w:id="0">
    <w:p w:rsidR="00EE1B73" w:rsidRDefault="00EE1B73" w:rsidP="0097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73" w:rsidRDefault="00EE1B73" w:rsidP="00973F7C">
      <w:pPr>
        <w:spacing w:after="0" w:line="240" w:lineRule="auto"/>
      </w:pPr>
      <w:r>
        <w:separator/>
      </w:r>
    </w:p>
  </w:footnote>
  <w:footnote w:type="continuationSeparator" w:id="0">
    <w:p w:rsidR="00EE1B73" w:rsidRDefault="00EE1B73" w:rsidP="0097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C2" w:rsidRDefault="002E4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9DF"/>
    <w:multiLevelType w:val="hybridMultilevel"/>
    <w:tmpl w:val="CFBC1A3C"/>
    <w:lvl w:ilvl="0" w:tplc="D298CFA0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E72"/>
    <w:multiLevelType w:val="hybridMultilevel"/>
    <w:tmpl w:val="3DD44894"/>
    <w:lvl w:ilvl="0" w:tplc="B43ABE48">
      <w:start w:val="1"/>
      <w:numFmt w:val="bullet"/>
      <w:lvlText w:val="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45535DB"/>
    <w:multiLevelType w:val="hybridMultilevel"/>
    <w:tmpl w:val="011CE88E"/>
    <w:lvl w:ilvl="0" w:tplc="CD060B6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A420AE1"/>
    <w:multiLevelType w:val="hybridMultilevel"/>
    <w:tmpl w:val="887EAE70"/>
    <w:lvl w:ilvl="0" w:tplc="68E69E36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39"/>
    <w:rsid w:val="000127F6"/>
    <w:rsid w:val="0001532D"/>
    <w:rsid w:val="00023D2B"/>
    <w:rsid w:val="00024432"/>
    <w:rsid w:val="00031952"/>
    <w:rsid w:val="00037845"/>
    <w:rsid w:val="000643B6"/>
    <w:rsid w:val="00073558"/>
    <w:rsid w:val="00077FE8"/>
    <w:rsid w:val="00083C39"/>
    <w:rsid w:val="000F301D"/>
    <w:rsid w:val="00105EDA"/>
    <w:rsid w:val="00165A62"/>
    <w:rsid w:val="001A6CF6"/>
    <w:rsid w:val="00204906"/>
    <w:rsid w:val="00220E79"/>
    <w:rsid w:val="00224EAA"/>
    <w:rsid w:val="00252E56"/>
    <w:rsid w:val="00266BC1"/>
    <w:rsid w:val="002961B2"/>
    <w:rsid w:val="002E43C2"/>
    <w:rsid w:val="002F3B85"/>
    <w:rsid w:val="003005C9"/>
    <w:rsid w:val="00301E18"/>
    <w:rsid w:val="00312645"/>
    <w:rsid w:val="003238FB"/>
    <w:rsid w:val="003479F1"/>
    <w:rsid w:val="00390156"/>
    <w:rsid w:val="003C3C45"/>
    <w:rsid w:val="003D4FA6"/>
    <w:rsid w:val="003D7420"/>
    <w:rsid w:val="003E383D"/>
    <w:rsid w:val="00435FD0"/>
    <w:rsid w:val="00454BBC"/>
    <w:rsid w:val="0046734B"/>
    <w:rsid w:val="00472718"/>
    <w:rsid w:val="00496D51"/>
    <w:rsid w:val="004B10B6"/>
    <w:rsid w:val="004D7F75"/>
    <w:rsid w:val="004F473B"/>
    <w:rsid w:val="00502202"/>
    <w:rsid w:val="005233CE"/>
    <w:rsid w:val="00524FE0"/>
    <w:rsid w:val="00527F0B"/>
    <w:rsid w:val="00535906"/>
    <w:rsid w:val="00552753"/>
    <w:rsid w:val="00554C3D"/>
    <w:rsid w:val="005877A7"/>
    <w:rsid w:val="005916D6"/>
    <w:rsid w:val="00595833"/>
    <w:rsid w:val="005C5F92"/>
    <w:rsid w:val="005F19EF"/>
    <w:rsid w:val="005F5785"/>
    <w:rsid w:val="00637D3F"/>
    <w:rsid w:val="006406E2"/>
    <w:rsid w:val="00647E9B"/>
    <w:rsid w:val="0065716C"/>
    <w:rsid w:val="00684E3C"/>
    <w:rsid w:val="006945D6"/>
    <w:rsid w:val="006A7E09"/>
    <w:rsid w:val="006C3AE9"/>
    <w:rsid w:val="007103C7"/>
    <w:rsid w:val="0073286B"/>
    <w:rsid w:val="00747557"/>
    <w:rsid w:val="007506E9"/>
    <w:rsid w:val="0076005F"/>
    <w:rsid w:val="007827F7"/>
    <w:rsid w:val="007A6106"/>
    <w:rsid w:val="007B50DD"/>
    <w:rsid w:val="007F4875"/>
    <w:rsid w:val="0085304D"/>
    <w:rsid w:val="00896DE8"/>
    <w:rsid w:val="008D75D4"/>
    <w:rsid w:val="008E108C"/>
    <w:rsid w:val="008E3289"/>
    <w:rsid w:val="008F3A0C"/>
    <w:rsid w:val="009040A1"/>
    <w:rsid w:val="00961C8B"/>
    <w:rsid w:val="00973F7C"/>
    <w:rsid w:val="00975C57"/>
    <w:rsid w:val="0099605B"/>
    <w:rsid w:val="009B0A8D"/>
    <w:rsid w:val="009F07C0"/>
    <w:rsid w:val="009F1523"/>
    <w:rsid w:val="00A24AEC"/>
    <w:rsid w:val="00A83821"/>
    <w:rsid w:val="00AD4530"/>
    <w:rsid w:val="00B14CA2"/>
    <w:rsid w:val="00B23D1B"/>
    <w:rsid w:val="00B24BA4"/>
    <w:rsid w:val="00B24F3C"/>
    <w:rsid w:val="00B32C9F"/>
    <w:rsid w:val="00B47C65"/>
    <w:rsid w:val="00B96500"/>
    <w:rsid w:val="00BF7D03"/>
    <w:rsid w:val="00C12CAF"/>
    <w:rsid w:val="00C145EA"/>
    <w:rsid w:val="00C236DD"/>
    <w:rsid w:val="00C25BBA"/>
    <w:rsid w:val="00CA5C2C"/>
    <w:rsid w:val="00D45F06"/>
    <w:rsid w:val="00D8703B"/>
    <w:rsid w:val="00DF23DF"/>
    <w:rsid w:val="00E07461"/>
    <w:rsid w:val="00E24BD7"/>
    <w:rsid w:val="00E34884"/>
    <w:rsid w:val="00E415BF"/>
    <w:rsid w:val="00E44D69"/>
    <w:rsid w:val="00E740E9"/>
    <w:rsid w:val="00E95C78"/>
    <w:rsid w:val="00EE1B73"/>
    <w:rsid w:val="00F01D46"/>
    <w:rsid w:val="00F06759"/>
    <w:rsid w:val="00F1712B"/>
    <w:rsid w:val="00F4199C"/>
    <w:rsid w:val="00F77193"/>
    <w:rsid w:val="00F82590"/>
    <w:rsid w:val="00FA7C45"/>
    <w:rsid w:val="00FB31C4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C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7C"/>
  </w:style>
  <w:style w:type="paragraph" w:styleId="Footer">
    <w:name w:val="footer"/>
    <w:basedOn w:val="Normal"/>
    <w:link w:val="FooterChar"/>
    <w:uiPriority w:val="99"/>
    <w:unhideWhenUsed/>
    <w:rsid w:val="0097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7C"/>
  </w:style>
  <w:style w:type="character" w:customStyle="1" w:styleId="gsa-u2">
    <w:name w:val="gsa-u2"/>
    <w:basedOn w:val="DefaultParagraphFont"/>
    <w:rsid w:val="00165A62"/>
    <w:rPr>
      <w:color w:val="0088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C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7C"/>
  </w:style>
  <w:style w:type="paragraph" w:styleId="Footer">
    <w:name w:val="footer"/>
    <w:basedOn w:val="Normal"/>
    <w:link w:val="FooterChar"/>
    <w:uiPriority w:val="99"/>
    <w:unhideWhenUsed/>
    <w:rsid w:val="0097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7C"/>
  </w:style>
  <w:style w:type="character" w:customStyle="1" w:styleId="gsa-u2">
    <w:name w:val="gsa-u2"/>
    <w:basedOn w:val="DefaultParagraphFont"/>
    <w:rsid w:val="00165A62"/>
    <w:rPr>
      <w:color w:val="0088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presearch.iastate.edu/researcher/funding/internal/docs/faculty-start-up-funds-request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so.iastate.edu/joomla/index.php?option=com_content&amp;view=article&amp;id=33&amp;Itemid=1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vost.iastate.edu/fad/RequestSalarySupport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s.iastate.edu/hrs/files/loireg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nnettej\AppData\Local\Microsoft\Windows\Temporary%20Internet%20Files\Content.Outlook\DRJHWE34\Request%20for%20SalarySupport%20Form" TargetMode="External"/><Relationship Id="rId10" Type="http://schemas.openxmlformats.org/officeDocument/2006/relationships/hyperlink" Target="http://www.hrs.iastate.edu/hrs/files/DOLRegs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ovost.iastate.edu/office/resource.html" TargetMode="External"/><Relationship Id="rId14" Type="http://schemas.openxmlformats.org/officeDocument/2006/relationships/hyperlink" Target="%20%20%20%20%20%20%20%20http://www.vpresearch.iastate.edu/researcher/funding/internal/docs/faculty-start-up-funds-request.docx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4338-BF9D-432D-8AA6-1DEE2999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Jaehrling, Annette M [HS AD]</dc:creator>
  <cp:lastModifiedBy>Jaehrling, Annette M [HS AD]</cp:lastModifiedBy>
  <cp:revision>3</cp:revision>
  <cp:lastPrinted>2011-11-09T13:57:00Z</cp:lastPrinted>
  <dcterms:created xsi:type="dcterms:W3CDTF">2012-01-18T17:14:00Z</dcterms:created>
  <dcterms:modified xsi:type="dcterms:W3CDTF">2012-02-06T16:53:00Z</dcterms:modified>
</cp:coreProperties>
</file>